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b/>
          <w:bCs/>
          <w:sz w:val="30"/>
          <w:szCs w:val="30"/>
        </w:rPr>
      </w:pPr>
      <w:r>
        <w:rPr>
          <w:b/>
          <w:bCs/>
          <w:sz w:val="30"/>
          <w:szCs w:val="30"/>
        </w:rPr>
        <w:t>Endonyms and Exonyms</w:t>
      </w:r>
    </w:p>
    <w:p>
      <w:pPr>
        <w:pStyle w:val="Normal"/>
        <w:bidi w:val="0"/>
        <w:jc w:val="start"/>
        <w:rPr/>
      </w:pPr>
      <w:r>
        <w:rPr/>
      </w:r>
    </w:p>
    <w:p>
      <w:pPr>
        <w:pStyle w:val="Normal"/>
        <w:bidi w:val="0"/>
        <w:jc w:val="start"/>
        <w:rPr/>
      </w:pPr>
      <w:r>
        <w:rPr>
          <w:u w:val="single"/>
        </w:rPr>
        <w:t>Definitions</w:t>
      </w:r>
      <w:r>
        <w:rPr/>
        <w:t>:</w:t>
        <w:tab/>
        <w:tab/>
      </w:r>
      <w:r>
        <w:rPr>
          <w:b/>
          <w:bCs/>
        </w:rPr>
        <w:t>Endonym</w:t>
      </w:r>
      <w:r>
        <w:rPr/>
        <w:t>:</w:t>
        <w:tab/>
        <w:t>The name of a country or city used by its inhabitants</w:t>
      </w:r>
    </w:p>
    <w:p>
      <w:pPr>
        <w:pStyle w:val="Normal"/>
        <w:bidi w:val="0"/>
        <w:jc w:val="start"/>
        <w:rPr/>
      </w:pPr>
      <w:r>
        <w:rPr/>
      </w:r>
    </w:p>
    <w:p>
      <w:pPr>
        <w:pStyle w:val="Normal"/>
        <w:bidi w:val="0"/>
        <w:jc w:val="start"/>
        <w:rPr/>
      </w:pPr>
      <w:r>
        <w:rPr/>
        <w:tab/>
        <w:tab/>
        <w:tab/>
      </w:r>
      <w:r>
        <w:rPr>
          <w:b/>
          <w:bCs/>
        </w:rPr>
        <w:t>Exonym</w:t>
      </w:r>
      <w:r>
        <w:rPr/>
        <w:t>:</w:t>
        <w:tab/>
        <w:t>The name of a country or city used by another country</w:t>
      </w:r>
    </w:p>
    <w:p>
      <w:pPr>
        <w:pStyle w:val="Normal"/>
        <w:bidi w:val="0"/>
        <w:jc w:val="start"/>
        <w:rPr/>
      </w:pPr>
      <w:r>
        <w:rPr/>
      </w:r>
    </w:p>
    <w:p>
      <w:pPr>
        <w:pStyle w:val="Normal"/>
        <w:bidi w:val="0"/>
        <w:jc w:val="start"/>
        <w:rPr/>
      </w:pPr>
      <w:r>
        <w:rPr/>
        <w:t>Some people say that we shouldn’t change or translate the names of places. However, sometimes the name of a place, as spoken by its inhabitants, is very difficult to pronounce by foreigners. So they often change the name in a way that is easier to pronounce. However, sometimes an exonym is totally different from the endonym. Here are some examples:</w:t>
      </w:r>
    </w:p>
    <w:p>
      <w:pPr>
        <w:pStyle w:val="Normal"/>
        <w:bidi w:val="0"/>
        <w:jc w:val="start"/>
        <w:rPr/>
      </w:pPr>
      <w:r>
        <w:rPr/>
      </w:r>
    </w:p>
    <w:tbl>
      <w:tblPr>
        <w:tblW w:w="5000" w:type="pct"/>
        <w:jc w:val="start"/>
        <w:tblInd w:w="0" w:type="dxa"/>
        <w:tblLayout w:type="fixed"/>
        <w:tblCellMar>
          <w:top w:w="28" w:type="dxa"/>
          <w:start w:w="28" w:type="dxa"/>
          <w:bottom w:w="28" w:type="dxa"/>
          <w:end w:w="28" w:type="dxa"/>
        </w:tblCellMar>
      </w:tblPr>
      <w:tblGrid>
        <w:gridCol w:w="3513"/>
        <w:gridCol w:w="3513"/>
        <w:gridCol w:w="3514"/>
      </w:tblGrid>
      <w:tr>
        <w:trPr/>
        <w:tc>
          <w:tcPr>
            <w:tcW w:w="3513" w:type="dxa"/>
            <w:tcBorders>
              <w:top w:val="single" w:sz="2" w:space="0" w:color="000000"/>
              <w:start w:val="single" w:sz="2" w:space="0" w:color="000000"/>
              <w:bottom w:val="single" w:sz="2" w:space="0" w:color="000000"/>
            </w:tcBorders>
            <w:shd w:fill="DDDDDD" w:val="clear"/>
          </w:tcPr>
          <w:p>
            <w:pPr>
              <w:pStyle w:val="TableContents"/>
              <w:bidi w:val="0"/>
              <w:spacing w:before="57" w:after="57"/>
              <w:jc w:val="center"/>
              <w:rPr>
                <w:b/>
                <w:bCs/>
              </w:rPr>
            </w:pPr>
            <w:r>
              <w:rPr>
                <w:b/>
                <w:bCs/>
              </w:rPr>
              <w:t>Endonym</w:t>
            </w:r>
          </w:p>
        </w:tc>
        <w:tc>
          <w:tcPr>
            <w:tcW w:w="3513" w:type="dxa"/>
            <w:tcBorders>
              <w:top w:val="single" w:sz="2" w:space="0" w:color="000000"/>
              <w:start w:val="single" w:sz="2" w:space="0" w:color="000000"/>
              <w:bottom w:val="single" w:sz="2" w:space="0" w:color="000000"/>
            </w:tcBorders>
            <w:shd w:fill="DDDDDD" w:val="clear"/>
          </w:tcPr>
          <w:p>
            <w:pPr>
              <w:pStyle w:val="TableContents"/>
              <w:bidi w:val="0"/>
              <w:spacing w:before="57" w:after="57"/>
              <w:jc w:val="center"/>
              <w:rPr>
                <w:b/>
                <w:bCs/>
              </w:rPr>
            </w:pPr>
            <w:r>
              <w:rPr>
                <w:b/>
                <w:bCs/>
              </w:rPr>
              <w:t>Exonym (English)</w:t>
            </w:r>
          </w:p>
        </w:tc>
        <w:tc>
          <w:tcPr>
            <w:tcW w:w="3514" w:type="dxa"/>
            <w:tcBorders>
              <w:top w:val="single" w:sz="2" w:space="0" w:color="000000"/>
              <w:start w:val="single" w:sz="2" w:space="0" w:color="000000"/>
              <w:bottom w:val="single" w:sz="2" w:space="0" w:color="000000"/>
              <w:end w:val="single" w:sz="2" w:space="0" w:color="000000"/>
            </w:tcBorders>
            <w:shd w:fill="DDDDDD" w:val="clear"/>
          </w:tcPr>
          <w:p>
            <w:pPr>
              <w:pStyle w:val="TableContents"/>
              <w:bidi w:val="0"/>
              <w:spacing w:before="57" w:after="57"/>
              <w:jc w:val="center"/>
              <w:rPr>
                <w:b/>
                <w:bCs/>
              </w:rPr>
            </w:pPr>
            <w:r>
              <w:rPr>
                <w:b/>
                <w:bCs/>
              </w:rPr>
              <w:t>Exonym (Portuguese)</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Brasil</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Brazil</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Россия (Russia)</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Russia</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Rússia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France</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France</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França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Australia</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Australia</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Austrália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España</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Spain</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Espanha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England</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Inglaterra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London</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Londres</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Scotland</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Scotland</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Escócia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Cymru</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Wales</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País de Gales</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Lisboa</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Lisbon</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Köln</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Cologne</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Colônia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Ελλάδα (</w:t>
            </w:r>
            <w:r>
              <w:rPr/>
              <w:t>E</w:t>
            </w:r>
            <w:r>
              <w:rPr/>
              <w:t>lla</w:t>
            </w:r>
            <w:r>
              <w:rPr/>
              <w:t>da</w:t>
            </w:r>
            <w:r>
              <w:rPr/>
              <w:t>)</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Greece</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Grécia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 xml:space="preserve">日本 </w:t>
            </w:r>
            <w:r>
              <w:rPr/>
              <w:t>(Nihon)</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Japan</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Japão</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Suomi</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Finland</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Finlândia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Nederland</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The Netherlands</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Países Baixos</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 xml:space="preserve">ประเทศไทย </w:t>
            </w:r>
            <w:r>
              <w:rPr/>
              <w:t>(Prathethy)</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Thailand</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Tailândia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 xml:space="preserve">中国 </w:t>
            </w:r>
            <w:r>
              <w:rPr/>
              <w:t>(Zhōngguó)</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China</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China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Türkiye</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Turkey</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Turquia</w:t>
            </w:r>
          </w:p>
        </w:tc>
      </w:tr>
      <w:tr>
        <w:trPr/>
        <w:tc>
          <w:tcPr>
            <w:tcW w:w="3513" w:type="dxa"/>
            <w:tcBorders>
              <w:start w:val="single" w:sz="2" w:space="0" w:color="000000"/>
              <w:bottom w:val="single" w:sz="2" w:space="0" w:color="000000"/>
            </w:tcBorders>
          </w:tcPr>
          <w:p>
            <w:pPr>
              <w:pStyle w:val="TableContents"/>
              <w:bidi w:val="0"/>
              <w:spacing w:before="57" w:after="57"/>
              <w:ind w:start="113"/>
              <w:jc w:val="start"/>
              <w:rPr/>
            </w:pPr>
            <w:r>
              <w:rPr/>
              <w:t>Deutschland</w:t>
            </w:r>
          </w:p>
        </w:tc>
        <w:tc>
          <w:tcPr>
            <w:tcW w:w="3513" w:type="dxa"/>
            <w:tcBorders>
              <w:start w:val="single" w:sz="2" w:space="0" w:color="000000"/>
              <w:bottom w:val="single" w:sz="2" w:space="0" w:color="000000"/>
            </w:tcBorders>
          </w:tcPr>
          <w:p>
            <w:pPr>
              <w:pStyle w:val="TableContents"/>
              <w:bidi w:val="0"/>
              <w:spacing w:before="57" w:after="57"/>
              <w:ind w:start="113"/>
              <w:jc w:val="start"/>
              <w:rPr/>
            </w:pPr>
            <w:r>
              <w:rPr/>
              <w:t>Germany</w:t>
            </w:r>
          </w:p>
        </w:tc>
        <w:tc>
          <w:tcPr>
            <w:tcW w:w="3514" w:type="dxa"/>
            <w:tcBorders>
              <w:start w:val="single" w:sz="2" w:space="0" w:color="000000"/>
              <w:bottom w:val="single" w:sz="2" w:space="0" w:color="000000"/>
              <w:end w:val="single" w:sz="2" w:space="0" w:color="000000"/>
            </w:tcBorders>
          </w:tcPr>
          <w:p>
            <w:pPr>
              <w:pStyle w:val="TableContents"/>
              <w:bidi w:val="0"/>
              <w:spacing w:before="57" w:after="57"/>
              <w:ind w:start="113"/>
              <w:jc w:val="start"/>
              <w:rPr>
                <w:lang w:val="pt-BR"/>
              </w:rPr>
            </w:pPr>
            <w:r>
              <w:rPr>
                <w:lang w:val="pt-BR"/>
              </w:rPr>
              <w:t>Alemanha</w:t>
            </w:r>
          </w:p>
        </w:tc>
      </w:tr>
    </w:tbl>
    <w:p>
      <w:pPr>
        <w:pStyle w:val="Normal"/>
        <w:bidi w:val="0"/>
        <w:jc w:val="start"/>
        <w:rPr/>
      </w:pPr>
      <w:r>
        <w:rPr/>
      </w:r>
    </w:p>
    <w:p>
      <w:pPr>
        <w:pStyle w:val="Normal"/>
        <w:bidi w:val="0"/>
        <w:jc w:val="start"/>
        <w:rPr/>
      </w:pPr>
      <w:r>
        <w:rPr/>
      </w:r>
    </w:p>
    <w:p>
      <w:pPr>
        <w:pStyle w:val="Normal"/>
        <w:bidi w:val="0"/>
        <w:jc w:val="start"/>
        <w:rPr/>
      </w:pPr>
      <w:r>
        <w:rPr/>
        <w:t>Suggested video:</w:t>
        <w:tab/>
      </w:r>
      <w:hyperlink r:id="rId2">
        <w:r>
          <w:rPr>
            <w:rStyle w:val="Hyperlink"/>
          </w:rPr>
          <w:t>https://www.youtube.com/shorts/lSvM43eLh2k</w:t>
        </w:r>
      </w:hyperlink>
      <w:r>
        <w:rPr/>
        <w:t xml:space="preserve"> (1 minute)</w:t>
      </w:r>
    </w:p>
    <w:p>
      <w:pPr>
        <w:pStyle w:val="Normal"/>
        <w:bidi w:val="0"/>
        <w:jc w:val="start"/>
        <w:rPr/>
      </w:pPr>
      <w:r>
        <w:rPr/>
      </w:r>
    </w:p>
    <w:p>
      <w:pPr>
        <w:pStyle w:val="Normal"/>
        <w:bidi w:val="0"/>
        <w:jc w:val="start"/>
        <w:rPr>
          <w:b/>
          <w:bCs/>
        </w:rPr>
      </w:pPr>
      <w:r>
        <w:rPr>
          <w:b/>
          <w:bCs/>
        </w:rPr>
      </w:r>
      <w:r>
        <w:br w:type="page"/>
      </w:r>
    </w:p>
    <w:p>
      <w:pPr>
        <w:pStyle w:val="Normal"/>
        <w:bidi w:val="0"/>
        <w:spacing w:before="0" w:after="0"/>
        <w:jc w:val="start"/>
        <w:rPr>
          <w:sz w:val="28"/>
          <w:szCs w:val="28"/>
        </w:rPr>
      </w:pPr>
      <w:r>
        <w:rPr>
          <w:b/>
          <w:bCs/>
          <w:sz w:val="28"/>
          <w:szCs w:val="28"/>
        </w:rPr>
        <w:t>Türkiye</w:t>
      </w:r>
    </w:p>
    <w:p>
      <w:pPr>
        <w:pStyle w:val="Normal"/>
        <w:bidi w:val="0"/>
        <w:spacing w:before="0" w:after="0"/>
        <w:jc w:val="start"/>
        <w:rPr>
          <w:b/>
          <w:bCs/>
          <w:sz w:val="24"/>
          <w:szCs w:val="24"/>
        </w:rPr>
      </w:pPr>
      <w:r>
        <w:rPr>
          <w:b/>
          <w:bCs/>
          <w:sz w:val="24"/>
          <w:szCs w:val="24"/>
        </w:rPr>
      </w:r>
    </w:p>
    <w:p>
      <w:pPr>
        <w:pStyle w:val="Normal"/>
        <w:bidi w:val="0"/>
        <w:spacing w:before="0" w:after="0"/>
        <w:jc w:val="start"/>
        <w:rPr>
          <w:b w:val="false"/>
          <w:bCs w:val="false"/>
          <w:sz w:val="24"/>
          <w:szCs w:val="24"/>
        </w:rPr>
      </w:pPr>
      <w:r>
        <w:rPr>
          <w:b w:val="false"/>
          <w:bCs w:val="false"/>
          <w:sz w:val="24"/>
          <w:szCs w:val="24"/>
        </w:rPr>
        <w:t>In 2021, the Turkish government requested that all countries write the name of their country as the natives do. In June 2022, the United Nations agreed to recognize the new spelling, and in January 2023, the USA agreed to do the same.</w:t>
      </w:r>
    </w:p>
    <w:p>
      <w:pPr>
        <w:pStyle w:val="Normal"/>
        <w:bidi w:val="0"/>
        <w:spacing w:before="0" w:after="0"/>
        <w:jc w:val="start"/>
        <w:rPr>
          <w:b w:val="false"/>
          <w:bCs w:val="false"/>
          <w:sz w:val="24"/>
          <w:szCs w:val="24"/>
        </w:rPr>
      </w:pPr>
      <w:r>
        <w:rPr>
          <w:b w:val="false"/>
          <w:bCs w:val="false"/>
          <w:sz w:val="24"/>
          <w:szCs w:val="24"/>
        </w:rPr>
        <w:t xml:space="preserve">See: </w:t>
      </w:r>
      <w:hyperlink r:id="rId3">
        <w:r>
          <w:rPr>
            <w:rStyle w:val="Hyperlink"/>
            <w:b w:val="false"/>
            <w:bCs w:val="false"/>
            <w:sz w:val="22"/>
            <w:szCs w:val="22"/>
          </w:rPr>
          <w:t>https://www.npr.org/2023/01/08/1147704945/the-state-department-will-begin-spelling-turkey-as-turkiye</w:t>
        </w:r>
      </w:hyperlink>
    </w:p>
    <w:p>
      <w:pPr>
        <w:pStyle w:val="Normal"/>
        <w:bidi w:val="0"/>
        <w:spacing w:before="0" w:after="0"/>
        <w:jc w:val="start"/>
        <w:rPr>
          <w:b w:val="false"/>
          <w:bCs w:val="false"/>
          <w:sz w:val="24"/>
          <w:szCs w:val="24"/>
        </w:rPr>
      </w:pPr>
      <w:r>
        <w:rPr>
          <w:b w:val="false"/>
          <w:bCs w:val="false"/>
          <w:sz w:val="24"/>
          <w:szCs w:val="24"/>
        </w:rPr>
      </w:r>
    </w:p>
    <w:p>
      <w:pPr>
        <w:pStyle w:val="Normal"/>
        <w:bidi w:val="0"/>
        <w:spacing w:before="0" w:after="0"/>
        <w:jc w:val="start"/>
        <w:rPr>
          <w:b/>
          <w:bCs/>
          <w:sz w:val="24"/>
          <w:szCs w:val="24"/>
        </w:rPr>
      </w:pPr>
      <w:r>
        <w:rPr>
          <w:b/>
          <w:bCs/>
          <w:sz w:val="24"/>
          <w:szCs w:val="24"/>
        </w:rPr>
      </w:r>
    </w:p>
    <w:p>
      <w:pPr>
        <w:pStyle w:val="Normal"/>
        <w:bidi w:val="0"/>
        <w:spacing w:before="0" w:after="0"/>
        <w:jc w:val="start"/>
        <w:rPr>
          <w:sz w:val="28"/>
          <w:szCs w:val="28"/>
        </w:rPr>
      </w:pPr>
      <w:r>
        <w:rPr>
          <w:b/>
          <w:bCs/>
          <w:sz w:val="28"/>
          <w:szCs w:val="28"/>
        </w:rPr>
        <w:t>Deutschland</w:t>
      </w:r>
    </w:p>
    <w:p>
      <w:pPr>
        <w:pStyle w:val="Normal"/>
        <w:bidi w:val="0"/>
        <w:jc w:val="start"/>
        <w:rPr>
          <w:b/>
          <w:bCs/>
        </w:rPr>
      </w:pPr>
      <w:r>
        <w:rPr>
          <w:b/>
          <w:bCs/>
        </w:rPr>
        <w:drawing>
          <wp:anchor behindDoc="0" distT="0" distB="0" distL="0" distR="0" simplePos="0" locked="0" layoutInCell="1" allowOverlap="1" relativeHeight="2">
            <wp:simplePos x="0" y="0"/>
            <wp:positionH relativeFrom="column">
              <wp:posOffset>120650</wp:posOffset>
            </wp:positionH>
            <wp:positionV relativeFrom="paragraph">
              <wp:posOffset>127000</wp:posOffset>
            </wp:positionV>
            <wp:extent cx="4988560" cy="286512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4988560" cy="2865120"/>
                    </a:xfrm>
                    <a:prstGeom prst="rect">
                      <a:avLst/>
                    </a:prstGeom>
                    <a:noFill/>
                  </pic:spPr>
                </pic:pic>
              </a:graphicData>
            </a:graphic>
          </wp:anchor>
        </w:drawing>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spacing w:lineRule="auto" w:line="276" w:before="113" w:after="113"/>
        <w:jc w:val="start"/>
        <w:rPr/>
      </w:pPr>
      <w:r>
        <w:rPr>
          <w:b w:val="false"/>
          <w:bCs w:val="false"/>
          <w:sz w:val="24"/>
          <w:szCs w:val="24"/>
        </w:rPr>
        <w:t>The word “</w:t>
      </w:r>
      <w:r>
        <w:rPr>
          <w:b/>
          <w:bCs/>
          <w:sz w:val="24"/>
          <w:szCs w:val="24"/>
        </w:rPr>
        <w:t>Deutschland</w:t>
      </w:r>
      <w:r>
        <w:rPr>
          <w:b w:val="false"/>
          <w:bCs w:val="false"/>
          <w:sz w:val="24"/>
          <w:szCs w:val="24"/>
        </w:rPr>
        <w:t>” means “Land of the People”. There are six variations of exonyms for this country (see the colours on the map above). Let’s examine their origins and meanings:</w:t>
      </w:r>
    </w:p>
    <w:p>
      <w:pPr>
        <w:pStyle w:val="Normal"/>
        <w:bidi w:val="0"/>
        <w:spacing w:lineRule="auto" w:line="276" w:before="113" w:after="113"/>
        <w:jc w:val="start"/>
        <w:rPr/>
      </w:pPr>
      <w:r>
        <w:rPr>
          <w:b w:val="false"/>
          <w:bCs w:val="false"/>
          <w:sz w:val="24"/>
          <w:szCs w:val="24"/>
        </w:rPr>
        <w:t xml:space="preserve">1. </w:t>
      </w:r>
      <w:r>
        <w:rPr>
          <w:b/>
          <w:bCs/>
          <w:sz w:val="24"/>
          <w:szCs w:val="24"/>
        </w:rPr>
        <w:t>Tyskland, Duitsland</w:t>
      </w:r>
      <w:r>
        <w:rPr>
          <w:b w:val="false"/>
          <w:bCs w:val="false"/>
          <w:sz w:val="24"/>
          <w:szCs w:val="24"/>
        </w:rPr>
        <w:t xml:space="preserve"> – these words also mean “Land of the People”. “Tyskland” is used in Denmark, Sweden and Norway, and “Duitsland” in The Netherlands (blue regions).</w:t>
      </w:r>
    </w:p>
    <w:p>
      <w:pPr>
        <w:pStyle w:val="Normal"/>
        <w:bidi w:val="0"/>
        <w:spacing w:lineRule="auto" w:line="276" w:before="113" w:after="113"/>
        <w:jc w:val="start"/>
        <w:rPr/>
      </w:pPr>
      <w:r>
        <w:rPr>
          <w:b w:val="false"/>
          <w:bCs w:val="false"/>
          <w:sz w:val="24"/>
          <w:szCs w:val="24"/>
        </w:rPr>
        <w:t xml:space="preserve">2. </w:t>
      </w:r>
      <w:r>
        <w:rPr>
          <w:b/>
          <w:bCs/>
          <w:sz w:val="24"/>
          <w:szCs w:val="24"/>
        </w:rPr>
        <w:t>Germany</w:t>
      </w:r>
      <w:r>
        <w:rPr>
          <w:b w:val="false"/>
          <w:bCs w:val="false"/>
          <w:sz w:val="24"/>
          <w:szCs w:val="24"/>
        </w:rPr>
        <w:t xml:space="preserve"> – from the Latin word “Germania” which means “Land of the Germani”. The origin of the word “Germani” is unknown, but it could be from Anglo-Saxon meaning “neighbours”. Many countries use variations of the word “Germania” (green regions).</w:t>
      </w:r>
    </w:p>
    <w:p>
      <w:pPr>
        <w:pStyle w:val="Normal"/>
        <w:bidi w:val="0"/>
        <w:spacing w:lineRule="auto" w:line="276" w:before="113" w:after="113"/>
        <w:jc w:val="start"/>
        <w:rPr/>
      </w:pPr>
      <w:r>
        <w:rPr>
          <w:b w:val="false"/>
          <w:bCs w:val="false"/>
          <w:sz w:val="24"/>
          <w:szCs w:val="24"/>
        </w:rPr>
        <w:t xml:space="preserve">3. </w:t>
      </w:r>
      <w:r>
        <w:rPr>
          <w:b/>
          <w:bCs/>
          <w:sz w:val="24"/>
          <w:szCs w:val="24"/>
        </w:rPr>
        <w:t>Alemania</w:t>
      </w:r>
      <w:r>
        <w:rPr>
          <w:b w:val="false"/>
          <w:bCs w:val="false"/>
          <w:sz w:val="24"/>
          <w:szCs w:val="24"/>
        </w:rPr>
        <w:t xml:space="preserve"> – derived from the name “Alamanni” which was the name of a tribe who lived in what is Southern Germany today. Many countries use variations of this word (yellow regions).</w:t>
      </w:r>
    </w:p>
    <w:p>
      <w:pPr>
        <w:pStyle w:val="Normal"/>
        <w:bidi w:val="0"/>
        <w:spacing w:lineRule="auto" w:line="276" w:before="113" w:after="113"/>
        <w:jc w:val="start"/>
        <w:rPr/>
      </w:pPr>
      <w:r>
        <w:rPr>
          <w:b w:val="false"/>
          <w:bCs w:val="false"/>
          <w:sz w:val="24"/>
          <w:szCs w:val="24"/>
        </w:rPr>
        <w:t xml:space="preserve">4. </w:t>
      </w:r>
      <w:r>
        <w:rPr>
          <w:b/>
          <w:bCs/>
          <w:sz w:val="24"/>
          <w:szCs w:val="24"/>
        </w:rPr>
        <w:t>Niemcy</w:t>
      </w:r>
      <w:r>
        <w:rPr>
          <w:b w:val="false"/>
          <w:bCs w:val="false"/>
          <w:sz w:val="24"/>
          <w:szCs w:val="24"/>
        </w:rPr>
        <w:t xml:space="preserve"> – from the Slavic language meaning “The Silent Ones”. About 12 countries use variations of this word (purple regions).</w:t>
      </w:r>
    </w:p>
    <w:p>
      <w:pPr>
        <w:pStyle w:val="Normal"/>
        <w:bidi w:val="0"/>
        <w:spacing w:lineRule="auto" w:line="276" w:before="113" w:after="113"/>
        <w:jc w:val="start"/>
        <w:rPr/>
      </w:pPr>
      <w:r>
        <w:rPr>
          <w:b w:val="false"/>
          <w:bCs w:val="false"/>
          <w:sz w:val="24"/>
          <w:szCs w:val="24"/>
        </w:rPr>
        <w:t xml:space="preserve">5. </w:t>
      </w:r>
      <w:r>
        <w:rPr>
          <w:b/>
          <w:bCs/>
          <w:sz w:val="24"/>
          <w:szCs w:val="24"/>
        </w:rPr>
        <w:t>Saksa</w:t>
      </w:r>
      <w:r>
        <w:rPr>
          <w:b w:val="false"/>
          <w:bCs w:val="false"/>
          <w:sz w:val="24"/>
          <w:szCs w:val="24"/>
        </w:rPr>
        <w:t xml:space="preserve"> – derived from the word “Saxon”, the name of the people who lived in what is Northern Germany today. Only two countries use variations of this word; Estonia and Finland (red regions).</w:t>
      </w:r>
    </w:p>
    <w:p>
      <w:pPr>
        <w:pStyle w:val="Normal"/>
        <w:bidi w:val="0"/>
        <w:spacing w:lineRule="auto" w:line="276" w:before="113" w:after="113"/>
        <w:jc w:val="start"/>
        <w:rPr/>
      </w:pPr>
      <w:r>
        <w:rPr>
          <w:b w:val="false"/>
          <w:bCs w:val="false"/>
          <w:sz w:val="24"/>
          <w:szCs w:val="24"/>
        </w:rPr>
        <w:t xml:space="preserve">6. </w:t>
      </w:r>
      <w:r>
        <w:rPr>
          <w:b/>
          <w:bCs/>
          <w:sz w:val="24"/>
          <w:szCs w:val="24"/>
        </w:rPr>
        <w:t>Vacija</w:t>
      </w:r>
      <w:r>
        <w:rPr>
          <w:b w:val="false"/>
          <w:bCs w:val="false"/>
          <w:sz w:val="24"/>
          <w:szCs w:val="24"/>
        </w:rPr>
        <w:t xml:space="preserve"> – the origin of this word is unknown, but it could be from Indo-European meaning “war cry”. Only two countries use variations of this word; Latvia and Lithuania (bright green regions).</w:t>
      </w:r>
    </w:p>
    <w:p>
      <w:pPr>
        <w:pStyle w:val="Normal"/>
        <w:bidi w:val="0"/>
        <w:spacing w:lineRule="auto" w:line="276" w:before="113" w:after="113"/>
        <w:jc w:val="start"/>
        <w:rPr/>
      </w:pPr>
      <w:r>
        <w:rPr>
          <w:b/>
          <w:bCs/>
          <w:sz w:val="24"/>
          <w:szCs w:val="24"/>
        </w:rPr>
        <w:t>Source</w:t>
      </w:r>
      <w:r>
        <w:rPr>
          <w:b w:val="false"/>
          <w:bCs w:val="false"/>
          <w:sz w:val="24"/>
          <w:szCs w:val="24"/>
        </w:rPr>
        <w:t>:</w:t>
        <w:tab/>
      </w:r>
      <w:hyperlink r:id="rId5">
        <w:r>
          <w:rPr>
            <w:rStyle w:val="Hyperlink"/>
            <w:b w:val="false"/>
            <w:bCs w:val="false"/>
            <w:sz w:val="24"/>
            <w:szCs w:val="24"/>
          </w:rPr>
          <w:t>https://www.youtube.com/watch?v=acT46W6EGPs</w:t>
        </w:r>
      </w:hyperlink>
      <w:r>
        <w:rPr>
          <w:b w:val="false"/>
          <w:bCs w:val="false"/>
          <w:sz w:val="24"/>
          <w:szCs w:val="24"/>
        </w:rPr>
        <w:t xml:space="preserve"> (18 mins)</w:t>
      </w:r>
    </w:p>
    <w:p>
      <w:pPr>
        <w:pStyle w:val="Normal"/>
        <w:bidi w:val="0"/>
        <w:spacing w:lineRule="auto" w:line="276" w:before="113" w:after="113"/>
        <w:jc w:val="start"/>
        <w:rPr>
          <w:b w:val="false"/>
          <w:bCs w:val="false"/>
          <w:sz w:val="24"/>
          <w:szCs w:val="24"/>
        </w:rPr>
      </w:pPr>
      <w:r>
        <w:rPr>
          <w:b w:val="false"/>
          <w:bCs w:val="false"/>
          <w:sz w:val="24"/>
          <w:szCs w:val="24"/>
        </w:rPr>
      </w:r>
      <w:r>
        <w:br w:type="page"/>
      </w:r>
    </w:p>
    <w:p>
      <w:pPr>
        <w:pStyle w:val="Normal"/>
        <w:bidi w:val="0"/>
        <w:spacing w:lineRule="auto" w:line="276" w:before="0" w:after="113"/>
        <w:jc w:val="start"/>
        <w:rPr>
          <w:b/>
          <w:bCs/>
          <w:sz w:val="28"/>
          <w:szCs w:val="28"/>
        </w:rPr>
      </w:pPr>
      <w:r>
        <w:drawing>
          <wp:anchor behindDoc="0" distT="0" distB="0" distL="0" distR="0" simplePos="0" locked="0" layoutInCell="0" allowOverlap="1" relativeHeight="3">
            <wp:simplePos x="0" y="0"/>
            <wp:positionH relativeFrom="page">
              <wp:posOffset>881380</wp:posOffset>
            </wp:positionH>
            <wp:positionV relativeFrom="page">
              <wp:posOffset>4810125</wp:posOffset>
            </wp:positionV>
            <wp:extent cx="5610225" cy="384810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5610225" cy="3848100"/>
                    </a:xfrm>
                    <a:prstGeom prst="rect">
                      <a:avLst/>
                    </a:prstGeom>
                    <a:noFill/>
                  </pic:spPr>
                </pic:pic>
              </a:graphicData>
            </a:graphic>
          </wp:anchor>
        </w:drawing>
      </w:r>
      <w:r>
        <w:rPr>
          <w:b/>
          <w:bCs/>
          <w:sz w:val="28"/>
          <w:szCs w:val="28"/>
        </w:rPr>
        <w:t>Bombay vs Mumbai</w:t>
      </w:r>
    </w:p>
    <w:p>
      <w:pPr>
        <w:pStyle w:val="Normal"/>
        <w:bidi w:val="0"/>
        <w:spacing w:lineRule="auto" w:line="276" w:before="113" w:after="113"/>
        <w:jc w:val="start"/>
        <w:rPr/>
      </w:pPr>
      <w:r>
        <w:rPr>
          <w:b w:val="false"/>
          <w:bCs w:val="false"/>
          <w:sz w:val="24"/>
          <w:szCs w:val="24"/>
        </w:rPr>
        <w:t xml:space="preserve">The city’s earliest recorded names were </w:t>
      </w:r>
      <w:r>
        <w:rPr>
          <w:b/>
          <w:bCs/>
          <w:sz w:val="24"/>
          <w:szCs w:val="24"/>
        </w:rPr>
        <w:t>Kakamuchee</w:t>
      </w:r>
      <w:r>
        <w:rPr>
          <w:b w:val="false"/>
          <w:bCs w:val="false"/>
          <w:sz w:val="24"/>
          <w:szCs w:val="24"/>
        </w:rPr>
        <w:t xml:space="preserve"> and </w:t>
      </w:r>
      <w:r>
        <w:rPr>
          <w:b/>
          <w:bCs/>
          <w:sz w:val="24"/>
          <w:szCs w:val="24"/>
        </w:rPr>
        <w:t>Galajunkja</w:t>
      </w:r>
      <w:r>
        <w:rPr>
          <w:b w:val="false"/>
          <w:bCs w:val="false"/>
          <w:sz w:val="24"/>
          <w:szCs w:val="24"/>
        </w:rPr>
        <w:t xml:space="preserve">. However, the city was referred to as </w:t>
      </w:r>
      <w:r>
        <w:rPr>
          <w:b/>
          <w:bCs/>
          <w:sz w:val="24"/>
          <w:szCs w:val="24"/>
        </w:rPr>
        <w:t>Manbai</w:t>
      </w:r>
      <w:r>
        <w:rPr>
          <w:b w:val="false"/>
          <w:bCs w:val="false"/>
          <w:sz w:val="24"/>
          <w:szCs w:val="24"/>
        </w:rPr>
        <w:t xml:space="preserve"> in historical texts in 1507. In </w:t>
      </w:r>
      <w:r>
        <w:rPr>
          <w:b w:val="false"/>
          <w:bCs w:val="false"/>
          <w:i/>
          <w:iCs/>
          <w:sz w:val="24"/>
          <w:szCs w:val="24"/>
        </w:rPr>
        <w:t>Lendas da Índia</w:t>
      </w:r>
      <w:r>
        <w:rPr>
          <w:b w:val="false"/>
          <w:bCs w:val="false"/>
          <w:sz w:val="24"/>
          <w:szCs w:val="24"/>
        </w:rPr>
        <w:t xml:space="preserve">, written in old Portuguese by Gaspar Correia, the city was referred to as </w:t>
      </w:r>
      <w:r>
        <w:rPr>
          <w:b/>
          <w:bCs/>
          <w:sz w:val="24"/>
          <w:szCs w:val="24"/>
        </w:rPr>
        <w:t>Bombaim</w:t>
      </w:r>
      <w:r>
        <w:rPr>
          <w:b w:val="false"/>
          <w:bCs w:val="false"/>
          <w:sz w:val="24"/>
          <w:szCs w:val="24"/>
        </w:rPr>
        <w:t>, meaning ‘good bay’. ‘</w:t>
      </w:r>
      <w:r>
        <w:rPr>
          <w:b/>
          <w:bCs/>
          <w:sz w:val="24"/>
          <w:szCs w:val="24"/>
        </w:rPr>
        <w:t>Bombay</w:t>
      </w:r>
      <w:r>
        <w:rPr>
          <w:b w:val="false"/>
          <w:bCs w:val="false"/>
          <w:sz w:val="24"/>
          <w:szCs w:val="24"/>
        </w:rPr>
        <w:t xml:space="preserve">’ is an anglicized version of this name, used by the British when they took control of the city in the 17th century. Historical records show that the city was also referred to as </w:t>
      </w:r>
      <w:r>
        <w:rPr>
          <w:b/>
          <w:bCs/>
          <w:sz w:val="24"/>
          <w:szCs w:val="24"/>
        </w:rPr>
        <w:t>Mombayn</w:t>
      </w:r>
      <w:r>
        <w:rPr>
          <w:b w:val="false"/>
          <w:bCs w:val="false"/>
          <w:sz w:val="24"/>
          <w:szCs w:val="24"/>
        </w:rPr>
        <w:t xml:space="preserve">, </w:t>
      </w:r>
      <w:r>
        <w:rPr>
          <w:b/>
          <w:bCs/>
          <w:sz w:val="24"/>
          <w:szCs w:val="24"/>
        </w:rPr>
        <w:t>Bombain</w:t>
      </w:r>
      <w:r>
        <w:rPr>
          <w:b w:val="false"/>
          <w:bCs w:val="false"/>
          <w:sz w:val="24"/>
          <w:szCs w:val="24"/>
        </w:rPr>
        <w:t xml:space="preserve">, </w:t>
      </w:r>
      <w:r>
        <w:rPr>
          <w:b/>
          <w:bCs/>
          <w:sz w:val="24"/>
          <w:szCs w:val="24"/>
        </w:rPr>
        <w:t>Bombaym</w:t>
      </w:r>
      <w:r>
        <w:rPr>
          <w:b w:val="false"/>
          <w:bCs w:val="false"/>
          <w:sz w:val="24"/>
          <w:szCs w:val="24"/>
        </w:rPr>
        <w:t xml:space="preserve">, </w:t>
      </w:r>
      <w:r>
        <w:rPr>
          <w:b/>
          <w:bCs/>
          <w:sz w:val="24"/>
          <w:szCs w:val="24"/>
        </w:rPr>
        <w:t>Monbaym</w:t>
      </w:r>
      <w:r>
        <w:rPr>
          <w:b w:val="false"/>
          <w:bCs w:val="false"/>
          <w:sz w:val="24"/>
          <w:szCs w:val="24"/>
        </w:rPr>
        <w:t xml:space="preserve">, </w:t>
      </w:r>
      <w:r>
        <w:rPr>
          <w:b/>
          <w:bCs/>
          <w:sz w:val="24"/>
          <w:szCs w:val="24"/>
        </w:rPr>
        <w:t>Mombaim</w:t>
      </w:r>
      <w:r>
        <w:rPr>
          <w:b w:val="false"/>
          <w:bCs w:val="false"/>
          <w:sz w:val="24"/>
          <w:szCs w:val="24"/>
        </w:rPr>
        <w:t xml:space="preserve">, </w:t>
      </w:r>
      <w:r>
        <w:rPr>
          <w:b/>
          <w:bCs/>
          <w:sz w:val="24"/>
          <w:szCs w:val="24"/>
        </w:rPr>
        <w:t>Mombaym</w:t>
      </w:r>
      <w:r>
        <w:rPr>
          <w:b w:val="false"/>
          <w:bCs w:val="false"/>
          <w:sz w:val="24"/>
          <w:szCs w:val="24"/>
        </w:rPr>
        <w:t xml:space="preserve">, </w:t>
      </w:r>
      <w:r>
        <w:rPr>
          <w:b/>
          <w:bCs/>
          <w:sz w:val="24"/>
          <w:szCs w:val="24"/>
        </w:rPr>
        <w:t>Bambaye</w:t>
      </w:r>
      <w:r>
        <w:rPr>
          <w:b w:val="false"/>
          <w:bCs w:val="false"/>
          <w:sz w:val="24"/>
          <w:szCs w:val="24"/>
        </w:rPr>
        <w:t xml:space="preserve">, </w:t>
      </w:r>
      <w:r>
        <w:rPr>
          <w:b/>
          <w:bCs/>
          <w:sz w:val="24"/>
          <w:szCs w:val="24"/>
        </w:rPr>
        <w:t>Bombaiim</w:t>
      </w:r>
      <w:r>
        <w:rPr>
          <w:b w:val="false"/>
          <w:bCs w:val="false"/>
          <w:sz w:val="24"/>
          <w:szCs w:val="24"/>
        </w:rPr>
        <w:t xml:space="preserve">, </w:t>
      </w:r>
      <w:r>
        <w:rPr>
          <w:b/>
          <w:bCs/>
          <w:sz w:val="24"/>
          <w:szCs w:val="24"/>
        </w:rPr>
        <w:t>Bombeye</w:t>
      </w:r>
      <w:r>
        <w:rPr>
          <w:b w:val="false"/>
          <w:bCs w:val="false"/>
          <w:sz w:val="24"/>
          <w:szCs w:val="24"/>
        </w:rPr>
        <w:t xml:space="preserve">, </w:t>
      </w:r>
      <w:r>
        <w:rPr>
          <w:b/>
          <w:bCs/>
          <w:sz w:val="24"/>
          <w:szCs w:val="24"/>
        </w:rPr>
        <w:t>Boon</w:t>
      </w:r>
      <w:r>
        <w:rPr>
          <w:b w:val="false"/>
          <w:bCs w:val="false"/>
          <w:sz w:val="24"/>
          <w:szCs w:val="24"/>
        </w:rPr>
        <w:t xml:space="preserve"> </w:t>
      </w:r>
      <w:r>
        <w:rPr>
          <w:b/>
          <w:bCs/>
          <w:sz w:val="24"/>
          <w:szCs w:val="24"/>
        </w:rPr>
        <w:t>Bay</w:t>
      </w:r>
      <w:r>
        <w:rPr>
          <w:b w:val="false"/>
          <w:bCs w:val="false"/>
          <w:sz w:val="24"/>
          <w:szCs w:val="24"/>
        </w:rPr>
        <w:t xml:space="preserve">, and </w:t>
      </w:r>
      <w:r>
        <w:rPr>
          <w:b/>
          <w:bCs/>
          <w:sz w:val="24"/>
          <w:szCs w:val="24"/>
        </w:rPr>
        <w:t>Bon</w:t>
      </w:r>
      <w:r>
        <w:rPr>
          <w:b w:val="false"/>
          <w:bCs w:val="false"/>
          <w:sz w:val="24"/>
          <w:szCs w:val="24"/>
        </w:rPr>
        <w:t xml:space="preserve"> </w:t>
      </w:r>
      <w:r>
        <w:rPr>
          <w:b/>
          <w:bCs/>
          <w:sz w:val="24"/>
          <w:szCs w:val="24"/>
        </w:rPr>
        <w:t>Bahia</w:t>
      </w:r>
      <w:r>
        <w:rPr>
          <w:b w:val="false"/>
          <w:bCs w:val="false"/>
          <w:sz w:val="24"/>
          <w:szCs w:val="24"/>
        </w:rPr>
        <w:t xml:space="preserve"> at different times in its history!</w:t>
      </w:r>
    </w:p>
    <w:p>
      <w:pPr>
        <w:pStyle w:val="Normal"/>
        <w:bidi w:val="0"/>
        <w:spacing w:lineRule="auto" w:line="276" w:before="113" w:after="113"/>
        <w:jc w:val="start"/>
        <w:rPr/>
      </w:pPr>
      <w:r>
        <w:rPr>
          <w:b w:val="false"/>
          <w:bCs w:val="false"/>
          <w:sz w:val="24"/>
          <w:szCs w:val="24"/>
        </w:rPr>
        <w:t>The name ‘</w:t>
      </w:r>
      <w:r>
        <w:rPr>
          <w:b/>
          <w:bCs/>
          <w:sz w:val="24"/>
          <w:szCs w:val="24"/>
        </w:rPr>
        <w:t>Mumbai</w:t>
      </w:r>
      <w:r>
        <w:rPr>
          <w:b w:val="false"/>
          <w:bCs w:val="false"/>
          <w:sz w:val="24"/>
          <w:szCs w:val="24"/>
        </w:rPr>
        <w:t xml:space="preserve">’ was derived from the name of the Koli goddess </w:t>
      </w:r>
      <w:r>
        <w:rPr>
          <w:b w:val="false"/>
          <w:bCs w:val="false"/>
          <w:i/>
          <w:iCs/>
          <w:sz w:val="24"/>
          <w:szCs w:val="24"/>
        </w:rPr>
        <w:t>Mumbadevi</w:t>
      </w:r>
      <w:r>
        <w:rPr>
          <w:b w:val="false"/>
          <w:bCs w:val="false"/>
          <w:sz w:val="24"/>
          <w:szCs w:val="24"/>
        </w:rPr>
        <w:t xml:space="preserve">, who is the city’s patron deity. And so many Kannada speakers called the city </w:t>
      </w:r>
      <w:r>
        <w:rPr>
          <w:b/>
          <w:bCs/>
          <w:sz w:val="24"/>
          <w:szCs w:val="24"/>
        </w:rPr>
        <w:t>Mumbai</w:t>
      </w:r>
      <w:r>
        <w:rPr>
          <w:b w:val="false"/>
          <w:bCs w:val="false"/>
          <w:sz w:val="24"/>
          <w:szCs w:val="24"/>
        </w:rPr>
        <w:t xml:space="preserve"> even though it was </w:t>
      </w:r>
      <w:r>
        <w:rPr>
          <w:b/>
          <w:bCs/>
          <w:sz w:val="24"/>
          <w:szCs w:val="24"/>
        </w:rPr>
        <w:t>Bambai</w:t>
      </w:r>
      <w:r>
        <w:rPr>
          <w:b w:val="false"/>
          <w:bCs w:val="false"/>
          <w:sz w:val="24"/>
          <w:szCs w:val="24"/>
        </w:rPr>
        <w:t xml:space="preserve"> to Hindi speakers and </w:t>
      </w:r>
      <w:r>
        <w:rPr>
          <w:b/>
          <w:bCs/>
          <w:sz w:val="24"/>
          <w:szCs w:val="24"/>
        </w:rPr>
        <w:t>Bombay</w:t>
      </w:r>
      <w:r>
        <w:rPr>
          <w:b w:val="false"/>
          <w:bCs w:val="false"/>
          <w:sz w:val="24"/>
          <w:szCs w:val="24"/>
        </w:rPr>
        <w:t xml:space="preserve"> in official British records.</w:t>
      </w:r>
    </w:p>
    <w:p>
      <w:pPr>
        <w:pStyle w:val="Normal"/>
        <w:bidi w:val="0"/>
        <w:spacing w:lineRule="auto" w:line="276" w:before="113" w:after="113"/>
        <w:jc w:val="start"/>
        <w:rPr/>
      </w:pPr>
      <w:r>
        <w:rPr>
          <w:b w:val="false"/>
          <w:bCs w:val="false"/>
          <w:sz w:val="24"/>
          <w:szCs w:val="24"/>
        </w:rPr>
        <w:t xml:space="preserve">The city’s official name change, from </w:t>
      </w:r>
      <w:r>
        <w:rPr>
          <w:b/>
          <w:bCs/>
          <w:sz w:val="24"/>
          <w:szCs w:val="24"/>
        </w:rPr>
        <w:t>Bombay</w:t>
      </w:r>
      <w:r>
        <w:rPr>
          <w:b w:val="false"/>
          <w:bCs w:val="false"/>
          <w:sz w:val="24"/>
          <w:szCs w:val="24"/>
        </w:rPr>
        <w:t xml:space="preserve"> to </w:t>
      </w:r>
      <w:r>
        <w:rPr>
          <w:b/>
          <w:bCs/>
          <w:sz w:val="24"/>
          <w:szCs w:val="24"/>
        </w:rPr>
        <w:t>Mumbai</w:t>
      </w:r>
      <w:r>
        <w:rPr>
          <w:b w:val="false"/>
          <w:bCs w:val="false"/>
          <w:sz w:val="24"/>
          <w:szCs w:val="24"/>
        </w:rPr>
        <w:t xml:space="preserve">, happened when the political party Shiv Sena came to power in 1995. The party regarded the name </w:t>
      </w:r>
      <w:r>
        <w:rPr>
          <w:b/>
          <w:bCs/>
          <w:sz w:val="24"/>
          <w:szCs w:val="24"/>
        </w:rPr>
        <w:t>Bombay</w:t>
      </w:r>
      <w:r>
        <w:rPr>
          <w:b w:val="false"/>
          <w:bCs w:val="false"/>
          <w:sz w:val="24"/>
          <w:szCs w:val="24"/>
        </w:rPr>
        <w:t xml:space="preserve"> as a legacy of British colonialism, and wanted the city’s name to reflect its true heritage, renaming it to pay tribute to the goddess </w:t>
      </w:r>
      <w:r>
        <w:rPr>
          <w:b w:val="false"/>
          <w:bCs w:val="false"/>
          <w:i/>
          <w:iCs/>
          <w:sz w:val="24"/>
          <w:szCs w:val="24"/>
        </w:rPr>
        <w:t>Mumbadevi</w:t>
      </w:r>
      <w:r>
        <w:rPr>
          <w:b w:val="false"/>
          <w:bCs w:val="false"/>
          <w:sz w:val="24"/>
          <w:szCs w:val="24"/>
        </w:rPr>
        <w:t xml:space="preserve">. </w:t>
      </w:r>
    </w:p>
    <w:p>
      <w:pPr>
        <w:pStyle w:val="Normal"/>
        <w:bidi w:val="0"/>
        <w:spacing w:lineRule="auto" w:line="276" w:before="113" w:after="113"/>
        <w:jc w:val="start"/>
        <w:rPr/>
      </w:pPr>
      <w:r>
        <w:rPr>
          <w:b w:val="false"/>
          <w:bCs w:val="false"/>
          <w:sz w:val="24"/>
          <w:szCs w:val="24"/>
        </w:rPr>
        <w:t>This name change is part of a larger, ongoing process in which places across India have undergone name changes to remove the British names.</w:t>
      </w:r>
    </w:p>
    <w:sectPr>
      <w:type w:val="nextPage"/>
      <w:pgSz w:w="12240" w:h="15840"/>
      <w:pgMar w:left="850" w:right="850" w:gutter="0" w:header="0" w:top="850" w:footer="0" w:bottom="85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w:charset w:val="01"/>
    <w:family w:val="swiss"/>
    <w:pitch w:val="default"/>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oto Serif CJK SC" w:cs="Noto Sans"/>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Arial" w:hAnsi="Arial" w:eastAsia="Noto Serif CJK SC" w:cs="Noto Sans"/>
      <w:color w:val="auto"/>
      <w:kern w:val="2"/>
      <w:sz w:val="24"/>
      <w:szCs w:val="24"/>
      <w:lang w:val="en-GB" w:eastAsia="zh-CN" w:bidi="hi-IN"/>
    </w:rPr>
  </w:style>
  <w:style w:type="character" w:styleId="Hyperlink">
    <w:name w:val="Hyperlink"/>
    <w:rPr>
      <w:color w:val="000080"/>
      <w:u w:val="single"/>
    </w:rPr>
  </w:style>
  <w:style w:type="character" w:styleId="FollowedHyperlink">
    <w:name w:val="FollowedHyperlink"/>
    <w:rPr>
      <w:color w:val="800000"/>
      <w:u w:val="single"/>
    </w:rPr>
  </w:style>
  <w:style w:type="paragraph" w:styleId="Heading">
    <w:name w:val="Heading"/>
    <w:basedOn w:val="Normal"/>
    <w:next w:val="BodyText"/>
    <w:qFormat/>
    <w:pPr>
      <w:keepNext w:val="true"/>
      <w:spacing w:before="240" w:after="120"/>
    </w:pPr>
    <w:rPr>
      <w:rFonts w:ascii="Arial" w:hAnsi="Arial" w:eastAsia="Noto Sans CJK SC" w:cs="Noto Sans"/>
      <w:sz w:val="30"/>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Noto Sans"/>
    </w:rPr>
  </w:style>
  <w:style w:type="paragraph" w:styleId="Caption">
    <w:name w:val="caption"/>
    <w:basedOn w:val="Normal"/>
    <w:qFormat/>
    <w:pPr>
      <w:suppressLineNumbers/>
      <w:spacing w:before="120" w:after="120"/>
    </w:pPr>
    <w:rPr>
      <w:rFonts w:ascii="Arial" w:hAnsi="Arial" w:cs="Noto Sans"/>
      <w:i/>
      <w:iCs/>
      <w:sz w:val="24"/>
      <w:szCs w:val="24"/>
    </w:rPr>
  </w:style>
  <w:style w:type="paragraph" w:styleId="Index">
    <w:name w:val="Index"/>
    <w:basedOn w:val="Normal"/>
    <w:qFormat/>
    <w:pPr>
      <w:suppressLineNumbers/>
    </w:pPr>
    <w:rPr>
      <w:rFonts w:ascii="Arial" w:hAnsi="Arial" w:cs="Noto San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shorts/lSvM43eLh2k" TargetMode="External"/><Relationship Id="rId3" Type="http://schemas.openxmlformats.org/officeDocument/2006/relationships/hyperlink" Target="https://www.npr.org/2023/01/08/1147704945/the-state-department-will-begin-spelling-turkey-as-turkiye" TargetMode="External"/><Relationship Id="rId4" Type="http://schemas.openxmlformats.org/officeDocument/2006/relationships/image" Target="media/image1.png"/><Relationship Id="rId5" Type="http://schemas.openxmlformats.org/officeDocument/2006/relationships/hyperlink" Target="https://www.youtube.com/watch?v=acT46W6EGPs" TargetMode="External"/><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179</TotalTime>
  <Application>LibreOffice/25.8.4.2$Linux_X86_64 LibreOffice_project/290daaa01b999472f0c7a3890eb6a550fd74c6df</Application>
  <AppVersion>15.0000</AppVersion>
  <Pages>3</Pages>
  <Words>653</Words>
  <Characters>3495</Characters>
  <CharactersWithSpaces>4067</CharactersWithSpaces>
  <Paragraphs>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2024-10-18T15:43:05Z</dcterms:created>
  <dc:creator/>
  <dc:description/>
  <dc:language>en-GB</dc:language>
  <cp:lastModifiedBy/>
  <dcterms:modified xsi:type="dcterms:W3CDTF">2026-02-03T17:25:48Z</dcterms:modified>
  <cp:revision>64</cp:revision>
  <dc:subject/>
  <dc:title/>
</cp:coreProperties>
</file>

<file path=docProps/custom.xml><?xml version="1.0" encoding="utf-8"?>
<Properties xmlns="http://schemas.openxmlformats.org/officeDocument/2006/custom-properties" xmlns:vt="http://schemas.openxmlformats.org/officeDocument/2006/docPropsVTypes"/>
</file>