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VUCA / BANI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687070</wp:posOffset>
            </wp:positionH>
            <wp:positionV relativeFrom="paragraph">
              <wp:posOffset>570865</wp:posOffset>
            </wp:positionV>
            <wp:extent cx="4545965" cy="273494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8" t="-180" r="-108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73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</w:rPr>
        <w:t>Today’s workplace is a complicated place. It can be difficult to make decisions and to advance.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It’s a BANI world: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</w:rPr>
        <w:t>BANI =</w:t>
      </w:r>
      <w:r>
        <w:rPr>
          <w:rFonts w:cs="Arial" w:ascii="Arial" w:hAnsi="Arial"/>
          <w:sz w:val="28"/>
          <w:szCs w:val="28"/>
        </w:rPr>
        <w:t xml:space="preserve"> Brittle, Anxious, Non-linear and Incomprehensible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/>
          <w:bCs/>
          <w:sz w:val="28"/>
          <w:szCs w:val="28"/>
        </w:rPr>
        <w:t>FMEA</w:t>
      </w:r>
      <w:r>
        <w:rPr>
          <w:rFonts w:cs="Arial" w:ascii="Arial" w:hAnsi="Arial"/>
          <w:sz w:val="28"/>
          <w:szCs w:val="28"/>
        </w:rPr>
        <w:t xml:space="preserve"> = Failure Mode and Effects Analysis (Risk management)</w:t>
      </w:r>
    </w:p>
    <w:p>
      <w:pPr>
        <w:pStyle w:val="Normal"/>
        <w:rPr>
          <w:rFonts w:cs="Arial"/>
          <w:sz w:val="28"/>
          <w:szCs w:val="28"/>
        </w:rPr>
      </w:pPr>
      <w:hyperlink r:id="rId3">
        <w:r>
          <w:rPr>
            <w:rFonts w:ascii="Arial" w:hAnsi="Arial"/>
          </w:rPr>
        </w:r>
      </w:hyperlink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asq.org/quality-resources/fme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LibreOffice/26.2.1.2$Linux_X86_64 LibreOffice_project/8399f6259d8c87f40e7255cdb3c9b958f5e08948</Application>
  <AppVersion>15.0000</AppVersion>
  <Pages>1</Pages>
  <Words>39</Words>
  <Characters>204</Characters>
  <CharactersWithSpaces>238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2019-12-02T17:47:31Z</dcterms:created>
  <dc:creator/>
  <dc:description/>
  <dc:language>en-GB</dc:language>
  <cp:lastModifiedBy/>
  <dcterms:modified xsi:type="dcterms:W3CDTF">2026-03-30T19:55:30Z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